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1E14" w:rsidRPr="001C1E14" w:rsidRDefault="001C1E14" w:rsidP="001C1E14">
      <w:pPr>
        <w:jc w:val="center"/>
        <w:rPr>
          <w:rFonts w:ascii="Times New Roman" w:eastAsia="等线" w:hAnsi="Times New Roman" w:cs="Times New Roman" w:hint="eastAsia"/>
          <w:color w:val="000000"/>
          <w:kern w:val="0"/>
          <w:sz w:val="28"/>
        </w:rPr>
      </w:pPr>
      <w:r w:rsidRPr="001C1E14">
        <w:rPr>
          <w:rFonts w:ascii="Times New Roman" w:eastAsia="等线" w:hAnsi="Times New Roman" w:cs="Times New Roman" w:hint="eastAsia"/>
          <w:color w:val="000000"/>
          <w:kern w:val="0"/>
          <w:sz w:val="28"/>
        </w:rPr>
        <w:t>T</w:t>
      </w:r>
      <w:r w:rsidRPr="001C1E14">
        <w:rPr>
          <w:rFonts w:ascii="Times New Roman" w:eastAsia="等线" w:hAnsi="Times New Roman" w:cs="Times New Roman"/>
          <w:color w:val="000000"/>
          <w:kern w:val="0"/>
          <w:sz w:val="28"/>
        </w:rPr>
        <w:t xml:space="preserve">able S6: </w:t>
      </w:r>
      <w:bookmarkStart w:id="0" w:name="_GoBack"/>
      <w:r w:rsidRPr="001C1E14">
        <w:rPr>
          <w:rFonts w:ascii="Times New Roman" w:eastAsia="等线" w:hAnsi="Times New Roman" w:cs="Times New Roman"/>
          <w:color w:val="000000"/>
          <w:kern w:val="0"/>
          <w:sz w:val="28"/>
        </w:rPr>
        <w:t>The R package covered in this article</w:t>
      </w:r>
    </w:p>
    <w:tbl>
      <w:tblPr>
        <w:tblStyle w:val="a3"/>
        <w:tblW w:w="8301" w:type="dxa"/>
        <w:tblLook w:val="04A0" w:firstRow="1" w:lastRow="0" w:firstColumn="1" w:lastColumn="0" w:noHBand="0" w:noVBand="1"/>
      </w:tblPr>
      <w:tblGrid>
        <w:gridCol w:w="2911"/>
        <w:gridCol w:w="5390"/>
      </w:tblGrid>
      <w:tr w:rsidR="001C1E14" w:rsidRPr="001C1E14" w:rsidTr="001C1E14">
        <w:trPr>
          <w:trHeight w:val="278"/>
        </w:trPr>
        <w:tc>
          <w:tcPr>
            <w:tcW w:w="2911" w:type="dxa"/>
            <w:noWrap/>
            <w:hideMark/>
          </w:tcPr>
          <w:bookmarkEnd w:id="0"/>
          <w:p w:rsidR="001C1E14" w:rsidRPr="001C1E14" w:rsidRDefault="001C1E14" w:rsidP="001C1E14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</w:rPr>
            </w:pPr>
            <w:r w:rsidRPr="001C1E14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</w:rPr>
              <w:t>1. Impute</w:t>
            </w:r>
          </w:p>
        </w:tc>
        <w:tc>
          <w:tcPr>
            <w:tcW w:w="5390" w:type="dxa"/>
            <w:noWrap/>
            <w:hideMark/>
          </w:tcPr>
          <w:p w:rsidR="001C1E14" w:rsidRPr="001C1E14" w:rsidRDefault="001C1E14" w:rsidP="001C1E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1E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Used for missing value completion</w:t>
            </w:r>
          </w:p>
        </w:tc>
      </w:tr>
      <w:tr w:rsidR="001C1E14" w:rsidRPr="001C1E14" w:rsidTr="001C1E14">
        <w:trPr>
          <w:trHeight w:val="278"/>
        </w:trPr>
        <w:tc>
          <w:tcPr>
            <w:tcW w:w="2911" w:type="dxa"/>
            <w:noWrap/>
            <w:hideMark/>
          </w:tcPr>
          <w:p w:rsidR="001C1E14" w:rsidRPr="001C1E14" w:rsidRDefault="001C1E14" w:rsidP="001C1E14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5390" w:type="dxa"/>
            <w:noWrap/>
            <w:hideMark/>
          </w:tcPr>
          <w:p w:rsidR="001C1E14" w:rsidRPr="001C1E14" w:rsidRDefault="001C1E14" w:rsidP="001C1E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C1E14" w:rsidRPr="001C1E14" w:rsidTr="001C1E14">
        <w:trPr>
          <w:trHeight w:val="278"/>
        </w:trPr>
        <w:tc>
          <w:tcPr>
            <w:tcW w:w="2911" w:type="dxa"/>
            <w:noWrap/>
            <w:hideMark/>
          </w:tcPr>
          <w:p w:rsidR="001C1E14" w:rsidRPr="001C1E14" w:rsidRDefault="001C1E14" w:rsidP="001C1E14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</w:rPr>
            </w:pPr>
            <w:r w:rsidRPr="001C1E14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</w:rPr>
              <w:t xml:space="preserve">2. Survival </w:t>
            </w:r>
          </w:p>
        </w:tc>
        <w:tc>
          <w:tcPr>
            <w:tcW w:w="5390" w:type="dxa"/>
            <w:noWrap/>
            <w:hideMark/>
          </w:tcPr>
          <w:p w:rsidR="001C1E14" w:rsidRPr="001C1E14" w:rsidRDefault="001C1E14" w:rsidP="001C1E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1E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Survival analysis</w:t>
            </w:r>
          </w:p>
        </w:tc>
      </w:tr>
      <w:tr w:rsidR="001C1E14" w:rsidRPr="001C1E14" w:rsidTr="001C1E14">
        <w:trPr>
          <w:trHeight w:val="278"/>
        </w:trPr>
        <w:tc>
          <w:tcPr>
            <w:tcW w:w="2911" w:type="dxa"/>
            <w:noWrap/>
            <w:hideMark/>
          </w:tcPr>
          <w:p w:rsidR="001C1E14" w:rsidRPr="001C1E14" w:rsidRDefault="001C1E14" w:rsidP="001C1E14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5390" w:type="dxa"/>
            <w:noWrap/>
            <w:hideMark/>
          </w:tcPr>
          <w:p w:rsidR="001C1E14" w:rsidRPr="001C1E14" w:rsidRDefault="001C1E14" w:rsidP="001C1E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C1E14" w:rsidRPr="001C1E14" w:rsidTr="001C1E14">
        <w:trPr>
          <w:trHeight w:val="278"/>
        </w:trPr>
        <w:tc>
          <w:tcPr>
            <w:tcW w:w="2911" w:type="dxa"/>
            <w:noWrap/>
            <w:hideMark/>
          </w:tcPr>
          <w:p w:rsidR="001C1E14" w:rsidRPr="001C1E14" w:rsidRDefault="001C1E14" w:rsidP="001C1E14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</w:rPr>
            </w:pPr>
            <w:r w:rsidRPr="001C1E14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</w:rPr>
              <w:t xml:space="preserve">3. </w:t>
            </w:r>
            <w:proofErr w:type="spellStart"/>
            <w:r w:rsidRPr="001C1E14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</w:rPr>
              <w:t>ConcensusClusterPlus</w:t>
            </w:r>
            <w:proofErr w:type="spellEnd"/>
          </w:p>
        </w:tc>
        <w:tc>
          <w:tcPr>
            <w:tcW w:w="5390" w:type="dxa"/>
            <w:noWrap/>
            <w:hideMark/>
          </w:tcPr>
          <w:p w:rsidR="001C1E14" w:rsidRPr="001C1E14" w:rsidRDefault="001C1E14" w:rsidP="001C1E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1E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Consistent clustering</w:t>
            </w:r>
          </w:p>
        </w:tc>
      </w:tr>
      <w:tr w:rsidR="001C1E14" w:rsidRPr="001C1E14" w:rsidTr="001C1E14">
        <w:trPr>
          <w:trHeight w:val="278"/>
        </w:trPr>
        <w:tc>
          <w:tcPr>
            <w:tcW w:w="2911" w:type="dxa"/>
            <w:noWrap/>
            <w:hideMark/>
          </w:tcPr>
          <w:p w:rsidR="001C1E14" w:rsidRPr="001C1E14" w:rsidRDefault="001C1E14" w:rsidP="001C1E14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5390" w:type="dxa"/>
            <w:noWrap/>
            <w:hideMark/>
          </w:tcPr>
          <w:p w:rsidR="001C1E14" w:rsidRPr="001C1E14" w:rsidRDefault="001C1E14" w:rsidP="001C1E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C1E14" w:rsidRPr="001C1E14" w:rsidTr="001C1E14">
        <w:trPr>
          <w:trHeight w:val="278"/>
        </w:trPr>
        <w:tc>
          <w:tcPr>
            <w:tcW w:w="2911" w:type="dxa"/>
            <w:noWrap/>
            <w:hideMark/>
          </w:tcPr>
          <w:p w:rsidR="001C1E14" w:rsidRPr="001C1E14" w:rsidRDefault="001C1E14" w:rsidP="001C1E14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</w:rPr>
            </w:pPr>
            <w:r w:rsidRPr="001C1E14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</w:rPr>
              <w:t>4. WGCNA</w:t>
            </w:r>
          </w:p>
        </w:tc>
        <w:tc>
          <w:tcPr>
            <w:tcW w:w="5390" w:type="dxa"/>
            <w:noWrap/>
            <w:hideMark/>
          </w:tcPr>
          <w:p w:rsidR="001C1E14" w:rsidRPr="001C1E14" w:rsidRDefault="001C1E14" w:rsidP="001C1E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1E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Co-expression network</w:t>
            </w:r>
          </w:p>
        </w:tc>
      </w:tr>
      <w:tr w:rsidR="001C1E14" w:rsidRPr="001C1E14" w:rsidTr="001C1E14">
        <w:trPr>
          <w:trHeight w:val="278"/>
        </w:trPr>
        <w:tc>
          <w:tcPr>
            <w:tcW w:w="2911" w:type="dxa"/>
            <w:noWrap/>
            <w:hideMark/>
          </w:tcPr>
          <w:p w:rsidR="001C1E14" w:rsidRPr="001C1E14" w:rsidRDefault="001C1E14" w:rsidP="001C1E14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5390" w:type="dxa"/>
            <w:noWrap/>
            <w:hideMark/>
          </w:tcPr>
          <w:p w:rsidR="001C1E14" w:rsidRPr="001C1E14" w:rsidRDefault="001C1E14" w:rsidP="001C1E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C1E14" w:rsidRPr="001C1E14" w:rsidTr="001C1E14">
        <w:trPr>
          <w:trHeight w:val="278"/>
        </w:trPr>
        <w:tc>
          <w:tcPr>
            <w:tcW w:w="2911" w:type="dxa"/>
            <w:noWrap/>
            <w:hideMark/>
          </w:tcPr>
          <w:p w:rsidR="001C1E14" w:rsidRPr="001C1E14" w:rsidRDefault="001C1E14" w:rsidP="001C1E14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</w:rPr>
            </w:pPr>
            <w:r w:rsidRPr="001C1E14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</w:rPr>
              <w:t>5</w:t>
            </w: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</w:rPr>
              <w:t>.</w:t>
            </w:r>
            <w:r w:rsidRPr="001C1E14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</w:rPr>
              <w:t xml:space="preserve"> </w:t>
            </w:r>
            <w:proofErr w:type="spellStart"/>
            <w:r w:rsidRPr="001C1E14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</w:rPr>
              <w:t>Pheatmap</w:t>
            </w:r>
            <w:proofErr w:type="spellEnd"/>
          </w:p>
        </w:tc>
        <w:tc>
          <w:tcPr>
            <w:tcW w:w="5390" w:type="dxa"/>
            <w:noWrap/>
            <w:hideMark/>
          </w:tcPr>
          <w:p w:rsidR="001C1E14" w:rsidRPr="001C1E14" w:rsidRDefault="001C1E14" w:rsidP="001C1E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1E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Draw heatmap, cluster analysis</w:t>
            </w:r>
          </w:p>
        </w:tc>
      </w:tr>
    </w:tbl>
    <w:p w:rsidR="001C1E14" w:rsidRPr="001C1E14" w:rsidRDefault="001C1E14">
      <w:pPr>
        <w:rPr>
          <w:rFonts w:hint="eastAsia"/>
        </w:rPr>
      </w:pPr>
    </w:p>
    <w:sectPr w:rsidR="001C1E14" w:rsidRPr="001C1E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E14"/>
    <w:rsid w:val="001C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93F60"/>
  <w15:chartTrackingRefBased/>
  <w15:docId w15:val="{23275246-5156-4A1B-BC0E-8EB498C3C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1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6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科研wang</dc:creator>
  <cp:keywords/>
  <dc:description/>
  <cp:lastModifiedBy>科研wang</cp:lastModifiedBy>
  <cp:revision>1</cp:revision>
  <dcterms:created xsi:type="dcterms:W3CDTF">2019-04-30T04:41:00Z</dcterms:created>
  <dcterms:modified xsi:type="dcterms:W3CDTF">2019-04-30T04:47:00Z</dcterms:modified>
</cp:coreProperties>
</file>